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4C" w:rsidRPr="00BF1296" w:rsidRDefault="00652D4C" w:rsidP="00652D4C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BF1296">
        <w:rPr>
          <w:b/>
        </w:rPr>
        <w:t xml:space="preserve">ΠΡΟΓΡΑΜΜΑ </w:t>
      </w:r>
      <w:r w:rsidRPr="00BF1296">
        <w:rPr>
          <w:b/>
          <w:u w:val="single"/>
        </w:rPr>
        <w:t>ΕΠΑΝΑΛΗΠΤΙΚΩΝ</w:t>
      </w:r>
      <w:r w:rsidRPr="00BF1296">
        <w:rPr>
          <w:b/>
        </w:rPr>
        <w:t xml:space="preserve"> ΠΑΝΕΛΛΑΔΙΚΩΝ ΕΞΕΤΑΣΕΩΝ 2014</w:t>
      </w:r>
    </w:p>
    <w:p w:rsidR="00652D4C" w:rsidRPr="00BF1296" w:rsidRDefault="00652D4C" w:rsidP="00652D4C">
      <w:pPr>
        <w:pStyle w:val="2"/>
        <w:spacing w:after="0" w:line="240" w:lineRule="auto"/>
        <w:jc w:val="center"/>
        <w:rPr>
          <w:b/>
          <w:lang w:val="el-GR"/>
        </w:rPr>
      </w:pPr>
      <w:r w:rsidRPr="00BF1296">
        <w:rPr>
          <w:b/>
        </w:rPr>
        <w:t xml:space="preserve"> ΗΜΕΡΗΣΙΩΝ  ΚΑΙ ΕΣΠΕΡΙΝΩΝ </w:t>
      </w:r>
      <w:r w:rsidRPr="00BF1296">
        <w:rPr>
          <w:b/>
          <w:u w:val="single"/>
        </w:rPr>
        <w:t>ΓΕΝΙΚΩΝ ΛΥΚΕΙΩΝ (ΓΕΛ)</w:t>
      </w:r>
    </w:p>
    <w:p w:rsidR="00652D4C" w:rsidRPr="005B4CBB" w:rsidRDefault="00652D4C" w:rsidP="00652D4C">
      <w:pPr>
        <w:pStyle w:val="2"/>
        <w:spacing w:after="0" w:line="240" w:lineRule="auto"/>
        <w:jc w:val="center"/>
        <w:rPr>
          <w:rFonts w:cs="Arial"/>
          <w:b/>
          <w:sz w:val="20"/>
          <w:lang w:val="el-GR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0"/>
        <w:gridCol w:w="1417"/>
        <w:gridCol w:w="4005"/>
        <w:gridCol w:w="3888"/>
      </w:tblGrid>
      <w:tr w:rsidR="00652D4C" w:rsidRPr="00954163" w:rsidTr="007752A6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1430" w:type="dxa"/>
            <w:vAlign w:val="center"/>
          </w:tcPr>
          <w:p w:rsidR="00652D4C" w:rsidRPr="00186B2D" w:rsidRDefault="00652D4C" w:rsidP="007752A6">
            <w:pPr>
              <w:pStyle w:val="1"/>
              <w:jc w:val="center"/>
              <w:rPr>
                <w:rFonts w:ascii="Calibri" w:hAnsi="Calibri" w:cs="Arial"/>
                <w:sz w:val="18"/>
                <w:szCs w:val="18"/>
                <w:lang w:val="el-GR" w:eastAsia="el-GR"/>
              </w:rPr>
            </w:pPr>
            <w:r w:rsidRPr="00186B2D">
              <w:rPr>
                <w:rFonts w:ascii="Calibri" w:hAnsi="Calibri" w:cs="Arial"/>
                <w:sz w:val="18"/>
                <w:szCs w:val="18"/>
                <w:lang w:val="el-GR" w:eastAsia="el-GR"/>
              </w:rPr>
              <w:t>ΗΜΕΡΑ</w:t>
            </w:r>
          </w:p>
        </w:tc>
        <w:tc>
          <w:tcPr>
            <w:tcW w:w="1417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4163">
              <w:rPr>
                <w:rFonts w:cs="Arial"/>
                <w:b/>
                <w:sz w:val="18"/>
                <w:szCs w:val="18"/>
              </w:rPr>
              <w:t>ΗΜΕΡ/ΝΙΑ</w:t>
            </w:r>
          </w:p>
        </w:tc>
        <w:tc>
          <w:tcPr>
            <w:tcW w:w="4005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4163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3888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4163">
              <w:rPr>
                <w:rFonts w:cs="Arial"/>
                <w:b/>
                <w:sz w:val="18"/>
                <w:szCs w:val="18"/>
              </w:rPr>
              <w:t>ΚΑΤΗΓΟΡΙΑ ΜΑΘΗΜΑΤΟΣ</w:t>
            </w:r>
          </w:p>
        </w:tc>
      </w:tr>
      <w:tr w:rsidR="00652D4C" w:rsidRPr="00954163" w:rsidTr="007752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ΠΕΜΠΤΗ</w:t>
            </w:r>
          </w:p>
        </w:tc>
        <w:tc>
          <w:tcPr>
            <w:tcW w:w="1417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19-6-2014</w:t>
            </w:r>
          </w:p>
        </w:tc>
        <w:tc>
          <w:tcPr>
            <w:tcW w:w="4005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-ΝΕΟΕΛΛΗΝΙΚΗ ΓΛΩΣΣΑ</w:t>
            </w:r>
          </w:p>
        </w:tc>
        <w:tc>
          <w:tcPr>
            <w:tcW w:w="3888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ΓΕΝΙΚΗΣ ΠΑΙΔΕΙΑΣ</w:t>
            </w:r>
          </w:p>
        </w:tc>
      </w:tr>
      <w:tr w:rsidR="00652D4C" w:rsidRPr="00954163" w:rsidTr="007752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ΠΑΡΑΣΚΕΥΗ</w:t>
            </w:r>
          </w:p>
        </w:tc>
        <w:tc>
          <w:tcPr>
            <w:tcW w:w="1417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20-6-2014</w:t>
            </w:r>
          </w:p>
        </w:tc>
        <w:tc>
          <w:tcPr>
            <w:tcW w:w="4005" w:type="dxa"/>
            <w:vAlign w:val="center"/>
          </w:tcPr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-ΒΙΟΛΟΓΙΑ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-ΦΥΣΙΚΗ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-ΜΑΘΗΜΑΤΙΚΑ ΚΑΙ ΣΤΟΙΧΕΙΑ ΣΤΑΤΙΣΤΙΚΗΣ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-ΙΣΤΟΡΙΑ</w:t>
            </w:r>
          </w:p>
        </w:tc>
        <w:tc>
          <w:tcPr>
            <w:tcW w:w="3888" w:type="dxa"/>
            <w:vAlign w:val="center"/>
          </w:tcPr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ΓΕΝΙΚΗΣ ΠΑΙΔΕΙΑΣ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ΓΕΝΙΚΗΣ ΠΑΙΔΕΙΑΣ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ΓΕΝΙΚΗΣ ΠΑΙΔΕΙΑΣ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ΓΕΝΙΚΗΣ ΠΑΙΔΕΙΑΣ</w:t>
            </w:r>
          </w:p>
        </w:tc>
      </w:tr>
      <w:tr w:rsidR="00652D4C" w:rsidRPr="00954163" w:rsidTr="007752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ΣΑΒΒΑΤΟ</w:t>
            </w:r>
          </w:p>
        </w:tc>
        <w:tc>
          <w:tcPr>
            <w:tcW w:w="1417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21-6-2014</w:t>
            </w:r>
          </w:p>
        </w:tc>
        <w:tc>
          <w:tcPr>
            <w:tcW w:w="4005" w:type="dxa"/>
            <w:vAlign w:val="center"/>
          </w:tcPr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-ΑΡΧΑΙΑ ΕΛΛΗΝΙΚΑ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652D4C" w:rsidRPr="00954163" w:rsidRDefault="00652D4C" w:rsidP="007752A6">
            <w:pPr>
              <w:spacing w:after="0"/>
              <w:ind w:left="176" w:hanging="176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-ΜΑΘΗΜΑΤΙΚΑ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ΘΕΩΡΗΤΙΚΗΣ ΚΑΤ/ΝΣΗΣ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ΘΕΤΙΚΗΣ ΚΑΤΕΥΘΥΝΣΗΣ</w:t>
            </w:r>
          </w:p>
          <w:p w:rsidR="00652D4C" w:rsidRPr="00954163" w:rsidRDefault="00652D4C" w:rsidP="007752A6">
            <w:pPr>
              <w:spacing w:after="0"/>
              <w:ind w:left="176" w:hanging="176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ΤΕΧΝΟΛΟΓΙΚΗΣ ΚΑΤ/ΝΣΗΣ (ΚΑΙ ΤΩΝ ΔΥΟ ΚΥΚΛΩΝ)</w:t>
            </w:r>
          </w:p>
        </w:tc>
      </w:tr>
      <w:tr w:rsidR="00652D4C" w:rsidRPr="00954163" w:rsidTr="007752A6">
        <w:tblPrEx>
          <w:tblCellMar>
            <w:top w:w="0" w:type="dxa"/>
            <w:bottom w:w="0" w:type="dxa"/>
          </w:tblCellMar>
        </w:tblPrEx>
        <w:trPr>
          <w:trHeight w:val="1436"/>
          <w:jc w:val="center"/>
        </w:trPr>
        <w:tc>
          <w:tcPr>
            <w:tcW w:w="1430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ΔΕΥΤΕΡΑ</w:t>
            </w:r>
          </w:p>
        </w:tc>
        <w:tc>
          <w:tcPr>
            <w:tcW w:w="1417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23-6-2014</w:t>
            </w:r>
          </w:p>
        </w:tc>
        <w:tc>
          <w:tcPr>
            <w:tcW w:w="4005" w:type="dxa"/>
            <w:vAlign w:val="center"/>
          </w:tcPr>
          <w:p w:rsidR="00652D4C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 xml:space="preserve">-ΝΕΟΕΛΛΗΝΙΚΗ ΛΟΓΟΤΕΧΝΙΑ 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-ΒΙΟΛΟΓΙΑ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-ΧΗΜΕΙΑ – ΒΙΟΧΗΜΕΙΑ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-ΑΡΧΕΣ ΟΡΓΑΝΩΣΗΣ ΚΑΙ ΔΙΟΙΚΗΣΗΣ ΕΠΙΧΕΙΡΗΣΕΩΝ</w:t>
            </w:r>
          </w:p>
        </w:tc>
        <w:tc>
          <w:tcPr>
            <w:tcW w:w="3888" w:type="dxa"/>
            <w:vAlign w:val="center"/>
          </w:tcPr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ΘΕΩΡΗΤΙΚΗΣ ΚΑΤ/ΝΣΗΣ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ΘΕΤΙΚΗΣ ΚΑΤΕΥΘΥΝΣΗΣ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ΤΕΧΝΟΛΟΓΙΚΗΣ ΚΑΤ/ΝΣΗΣ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(ΚΥΚΛΟΣ ΤΕΧΝ/ΓΙΑΣ &amp; ΠΑΡΑΓΩΓΗΣ)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ΤΕΧΝΟΛΟΓΙΚΗΣ ΚΑΤ/ΝΣΗΣ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(ΚΥΚΛΟΣ ΠΛΗΡΟΦΟΡΙΚΗΣ &amp; ΥΠΗΡΕΣΙΩΝ)</w:t>
            </w:r>
          </w:p>
        </w:tc>
      </w:tr>
      <w:tr w:rsidR="00652D4C" w:rsidRPr="00954163" w:rsidTr="007752A6">
        <w:tblPrEx>
          <w:tblCellMar>
            <w:top w:w="0" w:type="dxa"/>
            <w:bottom w:w="0" w:type="dxa"/>
          </w:tblCellMar>
        </w:tblPrEx>
        <w:trPr>
          <w:trHeight w:val="1102"/>
          <w:jc w:val="center"/>
        </w:trPr>
        <w:tc>
          <w:tcPr>
            <w:tcW w:w="1430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ΤΡΙΤΗ</w:t>
            </w:r>
          </w:p>
        </w:tc>
        <w:tc>
          <w:tcPr>
            <w:tcW w:w="1417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24-6-2014</w:t>
            </w:r>
          </w:p>
        </w:tc>
        <w:tc>
          <w:tcPr>
            <w:tcW w:w="4005" w:type="dxa"/>
            <w:vAlign w:val="center"/>
          </w:tcPr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-ΛΑΤΙΝΙΚΑ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-ΧΗΜΕΙΑ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-ΗΛΕΚΤΡΟΛΟΓΙΑ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-ΑΝΑΠΤΥΞΗ ΕΦΑΡΜΟΓΩΝ ΣΕ ΠΡΟΓΡΑΜΜΑΤΙΣΤΙΚΟ ΠΕΡΙΒΑΛΛΟΝ</w:t>
            </w:r>
          </w:p>
        </w:tc>
        <w:tc>
          <w:tcPr>
            <w:tcW w:w="3888" w:type="dxa"/>
            <w:vAlign w:val="center"/>
          </w:tcPr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ΘΕΩΡΗΤΙΚΗΣ ΚΑΤ/ΝΣΗΣ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ΘΕΤΙΚΗΣ ΚΑΤΕΥΘΥΝΣΗΣ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ΤΕΧΝΟΛΟΓΙΚΗΣ ΚΑΤ/ΝΣΗΣ (ΚΥΚΛΟΣ ΤΕΧΝ/ΓΙΑΣ &amp; ΠΑΡΑΓΩΓΗΣ)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ΤΕΧΝΟΛΟΓΙΚΗΣ ΚΑΤ/ΝΣΗΣ (ΚΥΚΛΟΣ ΠΛΗΡΟΦΟΡΙΚΗΣ &amp; ΥΠΗΡΕΣΙΩΝ)</w:t>
            </w:r>
          </w:p>
        </w:tc>
      </w:tr>
      <w:tr w:rsidR="00652D4C" w:rsidRPr="00954163" w:rsidTr="007752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ΤΕΤΑΡΤΗ</w:t>
            </w:r>
          </w:p>
        </w:tc>
        <w:tc>
          <w:tcPr>
            <w:tcW w:w="1417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25-6-2014</w:t>
            </w:r>
          </w:p>
        </w:tc>
        <w:tc>
          <w:tcPr>
            <w:tcW w:w="4005" w:type="dxa"/>
            <w:vAlign w:val="center"/>
          </w:tcPr>
          <w:p w:rsidR="00652D4C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-ΙΣΤΟΡΙΑ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652D4C" w:rsidRPr="00954163" w:rsidRDefault="00652D4C" w:rsidP="007752A6">
            <w:pPr>
              <w:spacing w:after="0"/>
              <w:ind w:left="176" w:hanging="176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-ΦΥΣΙΚΗ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ΘΕΩΡΗΤΙΚΗΣ ΚΑΤ/ΝΣΗΣ</w:t>
            </w:r>
          </w:p>
          <w:p w:rsidR="00652D4C" w:rsidRPr="00954163" w:rsidRDefault="00652D4C" w:rsidP="007752A6">
            <w:pPr>
              <w:spacing w:after="0"/>
              <w:ind w:right="-12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ΘΕΤΙΚΗΣ ΚΑΤΕΥΘΥΝΣΗΣ</w:t>
            </w:r>
          </w:p>
          <w:p w:rsidR="00652D4C" w:rsidRPr="00954163" w:rsidRDefault="00652D4C" w:rsidP="007752A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ΤΕΧΝΟΛΟΓΙΚΗΣ ΚΑΤ/ΝΣΗΣ (ΚΑΙ ΤΩΝ ΔΥΟ ΚΥΚΛΩΝ)</w:t>
            </w:r>
          </w:p>
        </w:tc>
      </w:tr>
      <w:tr w:rsidR="00652D4C" w:rsidRPr="00954163" w:rsidTr="007752A6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430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ΠΕΜΠΤΗ</w:t>
            </w:r>
          </w:p>
        </w:tc>
        <w:tc>
          <w:tcPr>
            <w:tcW w:w="1417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26-6-2014</w:t>
            </w:r>
          </w:p>
        </w:tc>
        <w:tc>
          <w:tcPr>
            <w:tcW w:w="4005" w:type="dxa"/>
            <w:vAlign w:val="center"/>
          </w:tcPr>
          <w:p w:rsidR="00652D4C" w:rsidRPr="00954163" w:rsidRDefault="00652D4C" w:rsidP="007752A6">
            <w:pPr>
              <w:ind w:left="176" w:hanging="176"/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-ΑΡΧΕΣ ΟΙΚΟΝΟΜΙΚΗΣ ΘΕΩΡΙΑΣ</w:t>
            </w:r>
          </w:p>
        </w:tc>
        <w:tc>
          <w:tcPr>
            <w:tcW w:w="3888" w:type="dxa"/>
            <w:vAlign w:val="center"/>
          </w:tcPr>
          <w:p w:rsidR="00652D4C" w:rsidRPr="00954163" w:rsidRDefault="00652D4C" w:rsidP="007752A6">
            <w:pPr>
              <w:jc w:val="center"/>
              <w:rPr>
                <w:rFonts w:cs="Arial"/>
                <w:sz w:val="18"/>
                <w:szCs w:val="18"/>
              </w:rPr>
            </w:pPr>
            <w:r w:rsidRPr="00954163">
              <w:rPr>
                <w:rFonts w:cs="Arial"/>
                <w:sz w:val="18"/>
                <w:szCs w:val="18"/>
              </w:rPr>
              <w:t>ΜΑΘΗΜΑ ΕΠΙΛΟΓΗΣ ΟΛΩΝ ΤΩΝ ΚΑΤΕΥΘΥΝΣΕΩΝ</w:t>
            </w:r>
          </w:p>
        </w:tc>
      </w:tr>
    </w:tbl>
    <w:p w:rsidR="00652D4C" w:rsidRDefault="00652D4C" w:rsidP="00652D4C">
      <w:pPr>
        <w:spacing w:after="0"/>
        <w:ind w:left="-601"/>
        <w:jc w:val="both"/>
        <w:rPr>
          <w:rFonts w:cs="Arial"/>
          <w:sz w:val="20"/>
          <w:szCs w:val="20"/>
        </w:rPr>
      </w:pPr>
    </w:p>
    <w:p w:rsidR="00652D4C" w:rsidRPr="00C744E9" w:rsidRDefault="00652D4C" w:rsidP="00652D4C">
      <w:pPr>
        <w:spacing w:after="0"/>
        <w:ind w:left="-601"/>
        <w:jc w:val="both"/>
        <w:rPr>
          <w:rFonts w:cs="Arial"/>
          <w:sz w:val="21"/>
          <w:szCs w:val="21"/>
        </w:rPr>
      </w:pPr>
      <w:r w:rsidRPr="00C744E9">
        <w:rPr>
          <w:rFonts w:cs="Arial"/>
          <w:sz w:val="21"/>
          <w:szCs w:val="21"/>
        </w:rPr>
        <w:t xml:space="preserve">Ως ώρα έναρξης εξέτασης ορίζεται η </w:t>
      </w:r>
      <w:r w:rsidRPr="00C744E9">
        <w:rPr>
          <w:rFonts w:cs="Arial"/>
          <w:b/>
          <w:sz w:val="21"/>
          <w:szCs w:val="21"/>
        </w:rPr>
        <w:t xml:space="preserve">17:00 </w:t>
      </w:r>
      <w:proofErr w:type="spellStart"/>
      <w:r w:rsidRPr="00C744E9">
        <w:rPr>
          <w:rFonts w:cs="Arial"/>
          <w:sz w:val="21"/>
          <w:szCs w:val="21"/>
        </w:rPr>
        <w:t>μ.μ</w:t>
      </w:r>
      <w:proofErr w:type="spellEnd"/>
      <w:r w:rsidRPr="00C744E9">
        <w:rPr>
          <w:rFonts w:cs="Arial"/>
          <w:sz w:val="21"/>
          <w:szCs w:val="21"/>
        </w:rPr>
        <w:t xml:space="preserve">., κοινή για τους υποψήφιους ημερήσιων και εσπερινών Γενικών Λυκείων. </w:t>
      </w:r>
    </w:p>
    <w:p w:rsidR="00652D4C" w:rsidRPr="00C744E9" w:rsidRDefault="00652D4C" w:rsidP="00652D4C">
      <w:pPr>
        <w:spacing w:after="0"/>
        <w:ind w:left="-601"/>
        <w:jc w:val="both"/>
        <w:rPr>
          <w:rFonts w:cs="Arial"/>
          <w:sz w:val="21"/>
          <w:szCs w:val="21"/>
        </w:rPr>
      </w:pPr>
      <w:r w:rsidRPr="00C744E9">
        <w:rPr>
          <w:rFonts w:cs="Arial"/>
          <w:sz w:val="21"/>
          <w:szCs w:val="21"/>
        </w:rPr>
        <w:t xml:space="preserve">Οι υποψήφιοι πρέπει να προσέρχονται στις αίθουσες εξέτασης μέχρι τις  </w:t>
      </w:r>
      <w:r w:rsidRPr="00C744E9">
        <w:rPr>
          <w:rFonts w:cs="Arial"/>
          <w:b/>
          <w:sz w:val="21"/>
          <w:szCs w:val="21"/>
        </w:rPr>
        <w:t>16:30</w:t>
      </w:r>
      <w:r w:rsidRPr="00C744E9">
        <w:rPr>
          <w:rFonts w:cs="Arial"/>
          <w:sz w:val="21"/>
          <w:szCs w:val="21"/>
        </w:rPr>
        <w:t xml:space="preserve"> </w:t>
      </w:r>
      <w:proofErr w:type="spellStart"/>
      <w:r w:rsidRPr="00C744E9">
        <w:rPr>
          <w:rFonts w:cs="Arial"/>
          <w:sz w:val="21"/>
          <w:szCs w:val="21"/>
        </w:rPr>
        <w:t>μ.μ</w:t>
      </w:r>
      <w:proofErr w:type="spellEnd"/>
      <w:r w:rsidRPr="00C744E9">
        <w:rPr>
          <w:rFonts w:cs="Arial"/>
          <w:sz w:val="21"/>
          <w:szCs w:val="21"/>
        </w:rPr>
        <w:t>.</w:t>
      </w:r>
    </w:p>
    <w:p w:rsidR="00652D4C" w:rsidRPr="00C744E9" w:rsidRDefault="00652D4C" w:rsidP="00652D4C">
      <w:pPr>
        <w:spacing w:after="0"/>
        <w:ind w:left="-601"/>
        <w:jc w:val="both"/>
        <w:rPr>
          <w:rFonts w:cs="Arial"/>
          <w:sz w:val="21"/>
          <w:szCs w:val="21"/>
        </w:rPr>
      </w:pPr>
      <w:r w:rsidRPr="00C744E9">
        <w:rPr>
          <w:rFonts w:cs="Arial"/>
          <w:sz w:val="21"/>
          <w:szCs w:val="21"/>
        </w:rPr>
        <w:t xml:space="preserve">Η διάρκεια εξέτασης κάθε μαθήματος είναι τρεις </w:t>
      </w:r>
      <w:r w:rsidRPr="00C744E9">
        <w:rPr>
          <w:rFonts w:cs="Arial"/>
          <w:b/>
          <w:sz w:val="21"/>
          <w:szCs w:val="21"/>
        </w:rPr>
        <w:t>(3)</w:t>
      </w:r>
      <w:r w:rsidRPr="00C744E9">
        <w:rPr>
          <w:rFonts w:cs="Arial"/>
          <w:sz w:val="21"/>
          <w:szCs w:val="21"/>
        </w:rPr>
        <w:t xml:space="preserve"> ώρες.</w:t>
      </w:r>
    </w:p>
    <w:p w:rsidR="00652D4C" w:rsidRPr="00C744E9" w:rsidRDefault="00652D4C" w:rsidP="00652D4C">
      <w:pPr>
        <w:spacing w:after="0"/>
        <w:ind w:left="-567" w:firstLine="567"/>
        <w:jc w:val="both"/>
        <w:rPr>
          <w:rFonts w:cs="Arial"/>
          <w:sz w:val="21"/>
          <w:szCs w:val="21"/>
        </w:rPr>
      </w:pPr>
      <w:r w:rsidRPr="00C744E9">
        <w:rPr>
          <w:rFonts w:cs="Arial"/>
          <w:sz w:val="21"/>
          <w:szCs w:val="21"/>
        </w:rPr>
        <w:t xml:space="preserve">Στις επαναληπτικές πανελλαδικές εξετάσεις προσέρχονται μόνο όσοι υποψήφιοι ημερήσιων και εσπερινών Γενικών Λυκείων, </w:t>
      </w:r>
      <w:r w:rsidRPr="00C744E9">
        <w:rPr>
          <w:rFonts w:cs="Arial"/>
          <w:sz w:val="21"/>
          <w:szCs w:val="21"/>
          <w:u w:val="single"/>
        </w:rPr>
        <w:t>αποδεδειγμένα λόγω ασθένειας ή σοβαρού κωλύματος που συνιστά ανωτέρα βία</w:t>
      </w:r>
      <w:r w:rsidRPr="00C744E9">
        <w:rPr>
          <w:rFonts w:cs="Arial"/>
          <w:sz w:val="21"/>
          <w:szCs w:val="21"/>
        </w:rPr>
        <w:t>, δεν έλαβαν μέρος ή διέκοψαν την εξέτασή τους στις πανελλαδικές  εξετάσεις του Μαΐου</w:t>
      </w:r>
      <w:r>
        <w:rPr>
          <w:rFonts w:cs="Arial"/>
          <w:sz w:val="21"/>
          <w:szCs w:val="21"/>
        </w:rPr>
        <w:t>-Ιουνίου</w:t>
      </w:r>
      <w:r w:rsidRPr="00C744E9">
        <w:rPr>
          <w:rFonts w:cs="Arial"/>
          <w:sz w:val="21"/>
          <w:szCs w:val="21"/>
        </w:rPr>
        <w:t xml:space="preserve">, αφού θα έχουν προσκομίσει τα απαραίτητα δικαιολογητικά στο Λύκειο φοίτησης τους εντός τριών ημερών από την ημέρα εξέτασης που απουσίασαν. </w:t>
      </w:r>
      <w:r w:rsidRPr="00C744E9">
        <w:rPr>
          <w:rFonts w:cs="Arial"/>
          <w:b/>
          <w:sz w:val="21"/>
          <w:szCs w:val="21"/>
        </w:rPr>
        <w:t xml:space="preserve">Εξεταστικά Κέντρα ορίζονται </w:t>
      </w:r>
      <w:r w:rsidRPr="00C744E9">
        <w:rPr>
          <w:rFonts w:cs="Arial"/>
          <w:b/>
          <w:sz w:val="21"/>
          <w:szCs w:val="21"/>
          <w:u w:val="single"/>
        </w:rPr>
        <w:t>ΜΟΝΟ σε Αττική και Θεσσαλονίκη</w:t>
      </w:r>
      <w:r w:rsidRPr="00C744E9">
        <w:rPr>
          <w:rFonts w:cs="Arial"/>
          <w:sz w:val="21"/>
          <w:szCs w:val="21"/>
        </w:rPr>
        <w:t xml:space="preserve">. Όσοι υποψήφιοι συμμετάσχουν σε κάποιο μάθημα των επαναληπτικών πανελλαδικών και γι αυτό το λόγο απουσιάσουν, δικαιολογημένα, από τις </w:t>
      </w:r>
      <w:proofErr w:type="spellStart"/>
      <w:r w:rsidRPr="00C744E9">
        <w:rPr>
          <w:rFonts w:cs="Arial"/>
          <w:sz w:val="21"/>
          <w:szCs w:val="21"/>
        </w:rPr>
        <w:t>ενδοσχολικές</w:t>
      </w:r>
      <w:proofErr w:type="spellEnd"/>
      <w:r w:rsidRPr="00C744E9">
        <w:rPr>
          <w:rFonts w:cs="Arial"/>
          <w:sz w:val="21"/>
          <w:szCs w:val="21"/>
        </w:rPr>
        <w:t xml:space="preserve"> τους εξετάσεις, θα μπορούν να συμμετάσχουν στις επαναληπτικές </w:t>
      </w:r>
      <w:proofErr w:type="spellStart"/>
      <w:r w:rsidRPr="00C744E9">
        <w:rPr>
          <w:rFonts w:cs="Arial"/>
          <w:sz w:val="21"/>
          <w:szCs w:val="21"/>
        </w:rPr>
        <w:t>ενδοσχολικές</w:t>
      </w:r>
      <w:proofErr w:type="spellEnd"/>
      <w:r w:rsidRPr="00C744E9">
        <w:rPr>
          <w:rFonts w:cs="Arial"/>
          <w:sz w:val="21"/>
          <w:szCs w:val="21"/>
        </w:rPr>
        <w:t xml:space="preserve"> εξετάσεις του Ιουνίου, σύμφωνα με το πρόγραμμα που θα καταρτιστεί από το Λύκειό τους.    </w:t>
      </w:r>
    </w:p>
    <w:p w:rsidR="007E7507" w:rsidRDefault="00652D4C" w:rsidP="00652D4C">
      <w:pPr>
        <w:spacing w:after="0"/>
        <w:ind w:left="-567" w:firstLine="567"/>
        <w:jc w:val="both"/>
      </w:pPr>
      <w:r w:rsidRPr="00C744E9">
        <w:rPr>
          <w:rFonts w:cs="Arial"/>
          <w:sz w:val="21"/>
          <w:szCs w:val="21"/>
        </w:rPr>
        <w:t>Τέλος, αν υπάρξει υποψήφιος που θα έχει παραπεμφθεί στις επαναληπτικές εξετάσεις των ΓΕΛ και την ίδια ημέρα θα εξεταστεί και στο ειδικό μάθημα των Αγγλικών, τότε αυτός ο υποψήφιος θα εξεταστεί στα Αγγλικά σε εξεταστικό κέντρο της Αθήνας ή της Θεσσαλονίκης, κατόπιν συνεννόησης με τη Διεύθυνση Οργάνωσης και Διεξαγωγής Εξετάσεων.</w:t>
      </w:r>
      <w:r w:rsidRPr="00C744E9">
        <w:rPr>
          <w:rFonts w:ascii="Arial" w:hAnsi="Arial" w:cs="Arial"/>
          <w:sz w:val="21"/>
          <w:szCs w:val="21"/>
        </w:rPr>
        <w:t xml:space="preserve"> </w:t>
      </w:r>
    </w:p>
    <w:sectPr w:rsidR="007E7507" w:rsidSect="007E75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E3F"/>
    <w:multiLevelType w:val="hybridMultilevel"/>
    <w:tmpl w:val="11E61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D4C"/>
    <w:rsid w:val="00051C1D"/>
    <w:rsid w:val="002C47A8"/>
    <w:rsid w:val="00402DCE"/>
    <w:rsid w:val="00513652"/>
    <w:rsid w:val="00651BA3"/>
    <w:rsid w:val="00652D4C"/>
    <w:rsid w:val="00792A10"/>
    <w:rsid w:val="007E7507"/>
    <w:rsid w:val="00E6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652D4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2D4C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Body Text 2"/>
    <w:basedOn w:val="a"/>
    <w:link w:val="2Char"/>
    <w:uiPriority w:val="99"/>
    <w:unhideWhenUsed/>
    <w:rsid w:val="00652D4C"/>
    <w:pPr>
      <w:spacing w:after="120" w:line="480" w:lineRule="auto"/>
    </w:pPr>
    <w:rPr>
      <w:lang/>
    </w:rPr>
  </w:style>
  <w:style w:type="character" w:customStyle="1" w:styleId="2Char">
    <w:name w:val="Σώμα κείμενου 2 Char"/>
    <w:basedOn w:val="a0"/>
    <w:link w:val="2"/>
    <w:uiPriority w:val="99"/>
    <w:rsid w:val="00652D4C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2181</Characters>
  <Application>Microsoft Office Word</Application>
  <DocSecurity>0</DocSecurity>
  <Lines>18</Lines>
  <Paragraphs>5</Paragraphs>
  <ScaleCrop>false</ScaleCrop>
  <Company>YPEPTH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alampos</dc:creator>
  <cp:keywords/>
  <dc:description/>
  <cp:lastModifiedBy>alampos</cp:lastModifiedBy>
  <cp:revision>1</cp:revision>
  <dcterms:created xsi:type="dcterms:W3CDTF">2014-06-03T06:49:00Z</dcterms:created>
  <dcterms:modified xsi:type="dcterms:W3CDTF">2014-06-03T06:49:00Z</dcterms:modified>
</cp:coreProperties>
</file>